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1B365D"/>
          <w:sz w:val="40"/>
        </w:rPr>
        <w:t>BACHELOR OF PHYSIOTHERAPY (BPT) PROGRAMME</w:t>
      </w:r>
    </w:p>
    <w:p>
      <w:pPr>
        <w:spacing w:before="0" w:after="360"/>
        <w:jc w:val="center"/>
      </w:pPr>
      <w:r>
        <w:rPr>
          <w:rFonts w:ascii="Arial" w:hAnsi="Arial"/>
          <w:b/>
          <w:color w:val="4A5568"/>
          <w:sz w:val="26"/>
        </w:rPr>
        <w:t>ORDINANCES, RULES &amp; ACADEMIC REGULATIONS</w:t>
      </w:r>
    </w:p>
    <w:p>
      <w:pPr>
        <w:spacing w:after="360"/>
        <w:pBdr>
          <w:bottom w:val="single" w:sz="12" w:space="1" w:color="1B365D"/>
        </w:pBdr>
      </w:pPr>
    </w:p>
    <w:p>
      <w:pPr>
        <w:keepNext/>
        <w:spacing w:before="320" w:after="120"/>
        <w:pBdr>
          <w:bottom w:val="single" w:sz="6" w:space="2" w:color="1B365D"/>
        </w:pBdr>
      </w:pPr>
      <w:r>
        <w:rPr>
          <w:rFonts w:ascii="Arial" w:hAnsi="Arial"/>
          <w:b/>
          <w:color w:val="1B365D"/>
          <w:sz w:val="28"/>
        </w:rPr>
        <w:t>1. SHORT TITLE AND COMMENCEMENT</w:t>
      </w:r>
    </w:p>
    <w:p>
      <w:pPr>
        <w:spacing w:after="80"/>
      </w:pPr>
      <w:r>
        <w:t>1.1 These Ordinances &amp; Regulations shall be called the Regulations governing the Bachelor of Physiotherapy (B.P.T.) Degree Programme.</w:t>
      </w:r>
    </w:p>
    <w:p>
      <w:pPr>
        <w:spacing w:after="120"/>
      </w:pPr>
      <w:r>
        <w:t>1.2 The regulations are framed in compliance with the guidelines prescribed by the National Commission for Allied and Healthcare Professions (NCAHP) and applicable State Allied Health Council / Regulatory Frameworks.</w:t>
      </w:r>
    </w:p>
    <w:p>
      <w:pPr>
        <w:keepNext/>
        <w:spacing w:before="320" w:after="120"/>
        <w:pBdr>
          <w:bottom w:val="single" w:sz="6" w:space="2" w:color="1B365D"/>
        </w:pBdr>
      </w:pPr>
      <w:r>
        <w:rPr>
          <w:rFonts w:ascii="Arial" w:hAnsi="Arial"/>
          <w:b/>
          <w:color w:val="1B365D"/>
          <w:sz w:val="28"/>
        </w:rPr>
        <w:t>2. PROGRAMME STRUCTURE &amp; DURATION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Degree Nomenclature: </w:t>
      </w:r>
      <w:r>
        <w:rPr>
          <w:color w:val="2D3748"/>
        </w:rPr>
        <w:t>Bachelor of Physiotherapy (BPT).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Nature of Course: </w:t>
      </w:r>
      <w:r>
        <w:rPr>
          <w:color w:val="2D3748"/>
        </w:rPr>
        <w:t>Full-time regular professional undergraduate degree program.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Total Duration: </w:t>
      </w:r>
      <w:r>
        <w:rPr>
          <w:color w:val="2D3748"/>
        </w:rPr>
        <w:t>4½ Years (or 5 Years as per updated NCAHP CBME guidelines), comprising 4 Academic Years of continuous coursework and clinical postings, followed by 6 Months (or 1 Year) of compulsory rotatory internship.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Academic Pattern: </w:t>
      </w:r>
      <w:r>
        <w:rPr>
          <w:color w:val="2D3748"/>
        </w:rPr>
        <w:t>Annual System / Competency-Based Credit System (CBCS).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Instructional Hours Mandate: </w:t>
      </w:r>
      <w:r>
        <w:rPr>
          <w:color w:val="2D3748"/>
        </w:rPr>
        <w:t>A minimum requirement of 1,560 teaching and practical/clinical hours per academic year (~43.33 instructional hours per week over a standard 36-week academic period).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Medium of Instruction: </w:t>
      </w:r>
      <w:r>
        <w:rPr>
          <w:color w:val="2D3748"/>
        </w:rPr>
        <w:t>English shall be the medium of instruction and examination for all subjects.</w:t>
      </w:r>
    </w:p>
    <w:p>
      <w:pPr>
        <w:keepNext/>
        <w:spacing w:before="320" w:after="120"/>
        <w:pBdr>
          <w:bottom w:val="single" w:sz="6" w:space="2" w:color="1B365D"/>
        </w:pBdr>
      </w:pPr>
      <w:r>
        <w:rPr>
          <w:rFonts w:ascii="Arial" w:hAnsi="Arial"/>
          <w:b/>
          <w:color w:val="1B365D"/>
          <w:sz w:val="28"/>
        </w:rPr>
        <w:t>3. ELIGIBILITY &amp; ADMISSION CRITERIA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Educational Qualifications: </w:t>
      </w:r>
      <w:r>
        <w:rPr>
          <w:color w:val="2D3748"/>
        </w:rPr>
        <w:t>Candidates seeking admission to the BPT programme must have passed Higher Secondary (10+2) or equivalent examination from a recognized Board with Physics, Chemistry, and Biology (PCB) securing a minimum of 50% aggregate marks in PCB.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Age Limit: </w:t>
      </w:r>
      <w:r>
        <w:rPr>
          <w:color w:val="2D3748"/>
        </w:rPr>
        <w:t>The candidate should have completed 17 years of age on or before 31st December of the year of admission.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Mode of Admission: </w:t>
      </w:r>
      <w:r>
        <w:rPr>
          <w:color w:val="2D3748"/>
        </w:rPr>
        <w:t>Admissions are conducted based on merit in national/state-level entrance examinations or University merit selection guidelines.</w:t>
      </w:r>
    </w:p>
    <w:p>
      <w:pPr>
        <w:keepNext/>
        <w:spacing w:before="320" w:after="120"/>
        <w:pBdr>
          <w:bottom w:val="single" w:sz="6" w:space="2" w:color="1B365D"/>
        </w:pBdr>
      </w:pPr>
      <w:r>
        <w:rPr>
          <w:rFonts w:ascii="Arial" w:hAnsi="Arial"/>
          <w:b/>
          <w:color w:val="1B365D"/>
          <w:sz w:val="28"/>
        </w:rPr>
        <w:t>4. ATTENDANCE &amp; CONDONATION REGULATIONS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Minimum Requirement: </w:t>
      </w:r>
      <w:r>
        <w:rPr>
          <w:color w:val="2D3748"/>
        </w:rPr>
        <w:t>Every student must attain a minimum of 75% attendance in theory and 75% in practical/clinical postings separately in each subject to be eligible to appear for the annual university examination.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Condonation Clause: </w:t>
      </w:r>
      <w:r>
        <w:rPr>
          <w:color w:val="2D3748"/>
        </w:rPr>
        <w:t>A condonation of up to 5% attendance shortfall may be granted by the Competent University Authority / Dean / Principal on genuine medical grounds, supported by valid medical certificates submitted within 7 days of illness.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Detention: </w:t>
      </w:r>
      <w:r>
        <w:rPr>
          <w:color w:val="2D3748"/>
        </w:rPr>
        <w:t>Students failing to satisfy the attendance criteria in any subject shall be detained from appearing in the annual university examination for that specific subject/year.</w:t>
      </w:r>
    </w:p>
    <w:p>
      <w:pPr>
        <w:keepNext/>
        <w:spacing w:before="320" w:after="120"/>
        <w:pBdr>
          <w:bottom w:val="single" w:sz="6" w:space="2" w:color="1B365D"/>
        </w:pBdr>
      </w:pPr>
      <w:r>
        <w:rPr>
          <w:rFonts w:ascii="Arial" w:hAnsi="Arial"/>
          <w:b/>
          <w:color w:val="1B365D"/>
          <w:sz w:val="28"/>
        </w:rPr>
        <w:t>5. SCHEME OF ASSESSMENT &amp; EXAMINATION RULES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Internal Assessment (IA): </w:t>
      </w:r>
      <w:r>
        <w:rPr>
          <w:color w:val="2D3748"/>
        </w:rPr>
        <w:t>Formative evaluation accounts for 25% to 50% weightage depending on the course type (25% for theory papers, 50% for practicals/projects). IA is derived from periodic mid-term tests, clinical case discussions, logbook maintenance, and seminars.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Annual University Examination: </w:t>
      </w:r>
      <w:r>
        <w:rPr>
          <w:color w:val="2D3748"/>
        </w:rPr>
        <w:t>Summative assessment conducted at the end of each academic year comprising written theory papers (75% weightage) and practical/viva-voce examinations (50% weightage).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Minimum Pass Criteria: </w:t>
      </w:r>
      <w:r>
        <w:rPr>
          <w:color w:val="2D3748"/>
        </w:rPr>
        <w:t>To pass a course, a candidate must secure: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  • </w:t>
      </w:r>
      <w:r>
        <w:rPr>
          <w:color w:val="2D3748"/>
        </w:rPr>
        <w:t>Minimum 40% in Internal Assessment separately.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  • </w:t>
      </w:r>
      <w:r>
        <w:rPr>
          <w:color w:val="2D3748"/>
        </w:rPr>
        <w:t>Minimum 50% in Annual University Examination (Theory and Practical separately).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  • </w:t>
      </w:r>
      <w:r>
        <w:rPr>
          <w:color w:val="2D3748"/>
        </w:rPr>
        <w:t>Minimum 50% in aggregate (Internal Assessment + Annual Examination combined).</w:t>
      </w:r>
    </w:p>
    <w:p>
      <w:pPr>
        <w:keepNext/>
        <w:spacing w:before="240" w:after="80"/>
      </w:pPr>
      <w:r>
        <w:rPr>
          <w:rFonts w:ascii="Arial" w:hAnsi="Arial"/>
          <w:b/>
          <w:color w:val="4A5568"/>
          <w:sz w:val="23"/>
        </w:rPr>
        <w:t>Summary of Assessment Weightage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B365D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Course Component</w:t>
            </w:r>
          </w:p>
        </w:tc>
        <w:tc>
          <w:tcPr>
            <w:tcW w:type="dxa" w:w="2340"/>
            <w:shd w:fill="1B365D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Internal Assessment (IA)</w:t>
            </w:r>
          </w:p>
        </w:tc>
        <w:tc>
          <w:tcPr>
            <w:tcW w:type="dxa" w:w="2340"/>
            <w:shd w:fill="1B365D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Annual Exam (AE)</w:t>
            </w:r>
          </w:p>
        </w:tc>
        <w:tc>
          <w:tcPr>
            <w:tcW w:type="dxa" w:w="2340"/>
            <w:shd w:fill="1B365D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Passing Minimum</w:t>
            </w:r>
          </w:p>
        </w:tc>
      </w:tr>
      <w:tr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</w:tcPr>
          <w:p>
            <w:pPr>
              <w:spacing w:before="60" w:after="60"/>
            </w:pPr>
            <w:r>
              <w:rPr>
                <w:sz w:val="19"/>
              </w:rPr>
              <w:t>Theory Courses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</w:tcPr>
          <w:p>
            <w:pPr>
              <w:spacing w:before="60" w:after="60"/>
              <w:jc w:val="center"/>
            </w:pPr>
            <w:r>
              <w:rPr>
                <w:sz w:val="19"/>
              </w:rPr>
              <w:t>25%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</w:tcPr>
          <w:p>
            <w:pPr>
              <w:spacing w:before="60" w:after="60"/>
              <w:jc w:val="center"/>
            </w:pPr>
            <w:r>
              <w:rPr>
                <w:sz w:val="19"/>
              </w:rPr>
              <w:t>75%</w:t>
            </w:r>
          </w:p>
        </w:tc>
        <w:tc>
          <w:tcPr>
            <w:tcW w:type="dxa" w:w="2340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</w:tcPr>
          <w:p>
            <w:pPr>
              <w:spacing w:before="60" w:after="60"/>
            </w:pPr>
            <w:r>
              <w:rPr>
                <w:sz w:val="19"/>
              </w:rPr>
              <w:t>50% Aggregate (40% IA / 50% AE)</w:t>
            </w:r>
          </w:p>
        </w:tc>
      </w:tr>
      <w:tr>
        <w:tc>
          <w:tcPr>
            <w:tcW w:type="dxa" w:w="2340"/>
            <w:shd w:fill="F0F4F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</w:tcPr>
          <w:p>
            <w:pPr>
              <w:spacing w:before="60" w:after="60"/>
            </w:pPr>
            <w:r>
              <w:rPr>
                <w:sz w:val="19"/>
              </w:rPr>
              <w:t>Practical / Clinical</w:t>
            </w:r>
          </w:p>
        </w:tc>
        <w:tc>
          <w:tcPr>
            <w:tcW w:type="dxa" w:w="2340"/>
            <w:shd w:fill="F0F4F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</w:tcPr>
          <w:p>
            <w:pPr>
              <w:spacing w:before="60" w:after="60"/>
              <w:jc w:val="center"/>
            </w:pPr>
            <w:r>
              <w:rPr>
                <w:sz w:val="19"/>
              </w:rPr>
              <w:t>50%</w:t>
            </w:r>
          </w:p>
        </w:tc>
        <w:tc>
          <w:tcPr>
            <w:tcW w:type="dxa" w:w="2340"/>
            <w:shd w:fill="F0F4F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</w:tcPr>
          <w:p>
            <w:pPr>
              <w:spacing w:before="60" w:after="60"/>
              <w:jc w:val="center"/>
            </w:pPr>
            <w:r>
              <w:rPr>
                <w:sz w:val="19"/>
              </w:rPr>
              <w:t>50%</w:t>
            </w:r>
          </w:p>
        </w:tc>
        <w:tc>
          <w:tcPr>
            <w:tcW w:type="dxa" w:w="2340"/>
            <w:shd w:fill="F0F4F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</w:tcPr>
          <w:p>
            <w:pPr>
              <w:spacing w:before="60" w:after="60"/>
            </w:pPr>
            <w:r>
              <w:rPr>
                <w:sz w:val="19"/>
              </w:rPr>
              <w:t>50% Aggregate (50% Practical &amp; Viva)</w:t>
            </w:r>
          </w:p>
        </w:tc>
      </w:tr>
    </w:tbl>
    <w:p>
      <w:pPr>
        <w:spacing w:after="120"/>
      </w:pPr>
    </w:p>
    <w:p>
      <w:pPr>
        <w:keepNext/>
        <w:spacing w:before="320" w:after="120"/>
        <w:pBdr>
          <w:bottom w:val="single" w:sz="6" w:space="2" w:color="1B365D"/>
        </w:pBdr>
      </w:pPr>
      <w:r>
        <w:rPr>
          <w:rFonts w:ascii="Arial" w:hAnsi="Arial"/>
          <w:b/>
          <w:color w:val="1B365D"/>
          <w:sz w:val="28"/>
        </w:rPr>
        <w:t>6. PROMOTION &amp; CARRY-OVER RULES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1st to 2nd Year: </w:t>
      </w:r>
      <w:r>
        <w:rPr>
          <w:color w:val="2D3748"/>
        </w:rPr>
        <w:t>A student will be promoted from 1st year to 2nd year if he/she clears at least two-third (2/3rd) of the total theory and practical courses combined.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2nd to 3rd Year: </w:t>
      </w:r>
      <w:r>
        <w:rPr>
          <w:color w:val="2D3748"/>
        </w:rPr>
        <w:t>A student will be promoted from 2nd year to 3rd year if he/she clears all practical courses of 1st year, 4/5th of theory courses of 1st year, and at least two-third (2/3rd) of total combined courses of 2nd year.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3rd to 4th Year: </w:t>
      </w:r>
      <w:r>
        <w:rPr>
          <w:color w:val="2D3748"/>
        </w:rPr>
        <w:t>A student will be promoted from 3rd year to 4th year if he/she clears all practical courses of 1st and 2nd year, 4/5th of 2nd year theory courses, and two-third (2/3rd) of total 3rd year courses.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Ex-Student Provision: </w:t>
      </w:r>
      <w:r>
        <w:rPr>
          <w:color w:val="2D3748"/>
        </w:rPr>
        <w:t>Students failing to secure promotion criteria shall appear as Ex-students in subsequent annual supplementary/main examinations in failed courses only.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0F4F8"/>
            <w:tcMar>
              <w:top w:w="120" w:type="dxa"/>
              <w:bottom w:w="120" w:type="dxa"/>
              <w:left w:w="180" w:type="dxa"/>
              <w:right w:w="180" w:type="dxa"/>
            </w:tcMar>
            <w:tcBorders>
              <w:top w:val="none"/>
              <w:left w:val="single" w:sz="24" w:space="0" w:color="1B365D"/>
              <w:bottom w:val="none"/>
              <w:right w:val="none"/>
            </w:tcBorders>
          </w:tcPr>
          <w:p>
            <w:pPr>
              <w:spacing w:before="40" w:after="40"/>
            </w:pPr>
            <w:r>
              <w:rPr>
                <w:b/>
                <w:color w:val="1B365D"/>
              </w:rPr>
              <w:t xml:space="preserve">STATUTORY RULE: </w:t>
            </w:r>
            <w:r>
              <w:rPr>
                <w:color w:val="2D3748"/>
              </w:rPr>
              <w:t>Rounding Rule: Non-integer carry-over criteria values are rounded off (e.g., 2.5 or above is rounded up to 3; values below .5 are rounded down).</w:t>
            </w:r>
          </w:p>
        </w:tc>
      </w:tr>
    </w:tbl>
    <w:p>
      <w:pPr>
        <w:spacing w:before="0" w:after="120"/>
      </w:pPr>
    </w:p>
    <w:p>
      <w:pPr>
        <w:keepNext/>
        <w:spacing w:before="320" w:after="120"/>
        <w:pBdr>
          <w:bottom w:val="single" w:sz="6" w:space="2" w:color="1B365D"/>
        </w:pBdr>
      </w:pPr>
      <w:r>
        <w:rPr>
          <w:rFonts w:ascii="Arial" w:hAnsi="Arial"/>
          <w:b/>
          <w:color w:val="1B365D"/>
          <w:sz w:val="28"/>
        </w:rPr>
        <w:t>7. COMPULSORY ROTATORY INTERNSHIP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Mandatory Duration: </w:t>
      </w:r>
      <w:r>
        <w:rPr>
          <w:color w:val="2D3748"/>
        </w:rPr>
        <w:t>Completion of 6 Months (or 1 Year as per updated NCAHP standards) full-time compulsory rotatory internship in a recognized super-specialty teaching hospital / clinical center.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Clinical Rotations: </w:t>
      </w:r>
      <w:r>
        <w:rPr>
          <w:color w:val="2D3748"/>
        </w:rPr>
        <w:t>Interns must rotate through core clinical specialties including Orthopedics, Neurology, Cardiothoracic, General Surgery/Medicine, Pediatrics, Sports, and Community Rehabilitation.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Assessment: </w:t>
      </w:r>
      <w:r>
        <w:rPr>
          <w:color w:val="2D3748"/>
        </w:rPr>
        <w:t>Interns must maintain a detailed daily logbook, case logs, and pass objective clinical competency evaluations prior to award of degree.</w:t>
      </w:r>
    </w:p>
    <w:p>
      <w:pPr>
        <w:keepNext/>
        <w:spacing w:before="320" w:after="120"/>
        <w:pBdr>
          <w:bottom w:val="single" w:sz="6" w:space="2" w:color="1B365D"/>
        </w:pBdr>
      </w:pPr>
      <w:r>
        <w:rPr>
          <w:rFonts w:ascii="Arial" w:hAnsi="Arial"/>
          <w:b/>
          <w:color w:val="1B365D"/>
          <w:sz w:val="28"/>
        </w:rPr>
        <w:t>8. AWARD OF DEGREE &amp; CLASSIFICATION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First Division with Distinction: </w:t>
      </w:r>
      <w:r>
        <w:rPr>
          <w:color w:val="2D3748"/>
        </w:rPr>
        <w:t>75% and above aggregate marks across all four years, passed in the first attempt.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First Division: </w:t>
      </w:r>
      <w:r>
        <w:rPr>
          <w:color w:val="2D3748"/>
        </w:rPr>
        <w:t>60% and above aggregate marks.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Second Division: </w:t>
      </w:r>
      <w:r>
        <w:rPr>
          <w:color w:val="2D3748"/>
        </w:rPr>
        <w:t>50% and above, but less than 60% aggregate marks.</w:t>
      </w:r>
    </w:p>
    <w:p>
      <w:pPr>
        <w:pStyle w:val="ListBullet"/>
        <w:spacing w:before="0" w:after="80"/>
      </w:pPr>
      <w:r>
        <w:rPr>
          <w:b/>
          <w:color w:val="2D3748"/>
        </w:rPr>
        <w:t xml:space="preserve">Span Period: </w:t>
      </w:r>
      <w:r>
        <w:rPr>
          <w:color w:val="2D3748"/>
        </w:rPr>
        <w:t>The candidate must complete the entire BPT degree within a maximum span period of 7 years from the date of initial admission.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D374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